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80" w:lineRule="exact"/>
        <w:ind w:left="0" w:leftChars="0" w:right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东莞市非银行信息向“粤信融”“中小融” </w:t>
      </w:r>
    </w:p>
    <w:p>
      <w:pPr>
        <w:widowControl w:val="0"/>
        <w:wordWrap/>
        <w:adjustRightInd/>
        <w:snapToGrid/>
        <w:spacing w:line="580" w:lineRule="exact"/>
        <w:ind w:left="0" w:leftChars="0" w:right="0"/>
        <w:jc w:val="center"/>
        <w:textAlignment w:val="auto"/>
        <w:outlineLvl w:val="9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“信易贷”等信用信息平台数据库报送情况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2020年，我市</w:t>
      </w:r>
      <w:r>
        <w:rPr>
          <w:rFonts w:hint="eastAsia" w:ascii="Times New Roman" w:hAnsi="Times New Roman" w:eastAsia="仿宋_GB2312"/>
          <w:sz w:val="32"/>
          <w:szCs w:val="32"/>
        </w:rPr>
        <w:t>持续推动非银行信息向“粤信融”“中小融”“信易贷”等信用信息平台数据库报送数据。</w:t>
      </w:r>
      <w:r>
        <w:rPr>
          <w:rFonts w:ascii="Times New Roman" w:hAnsi="Times New Roman" w:eastAsia="仿宋_GB2312"/>
          <w:sz w:val="32"/>
          <w:szCs w:val="32"/>
        </w:rPr>
        <w:t>截至2020年12月31日，共</w:t>
      </w:r>
      <w:r>
        <w:rPr>
          <w:rFonts w:hint="eastAsia" w:ascii="Times New Roman" w:hAnsi="Times New Roman" w:eastAsia="仿宋_GB2312"/>
          <w:sz w:val="32"/>
          <w:szCs w:val="32"/>
        </w:rPr>
        <w:t>向三个平台</w:t>
      </w:r>
      <w:r>
        <w:rPr>
          <w:rFonts w:ascii="Times New Roman" w:hAnsi="Times New Roman" w:eastAsia="仿宋_GB2312"/>
          <w:sz w:val="32"/>
          <w:szCs w:val="32"/>
        </w:rPr>
        <w:t>提供涵盖1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个系统类别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信息</w:t>
      </w:r>
      <w:r>
        <w:rPr>
          <w:rFonts w:hint="eastAsia" w:ascii="Times New Roman" w:hAnsi="Times New Roman" w:eastAsia="仿宋_GB2312"/>
          <w:sz w:val="32"/>
          <w:szCs w:val="32"/>
        </w:rPr>
        <w:t>数据</w:t>
      </w:r>
      <w:r>
        <w:rPr>
          <w:rFonts w:ascii="Times New Roman" w:hAnsi="Times New Roman" w:eastAsia="仿宋_GB2312"/>
          <w:sz w:val="32"/>
          <w:szCs w:val="32"/>
        </w:rPr>
        <w:t>，共计6</w:t>
      </w:r>
      <w:r>
        <w:rPr>
          <w:rFonts w:hint="eastAsia" w:ascii="Times New Roman" w:hAnsi="Times New Roman" w:eastAsia="仿宋_GB2312"/>
          <w:sz w:val="32"/>
          <w:szCs w:val="32"/>
        </w:rPr>
        <w:t>7024565</w:t>
      </w:r>
      <w:r>
        <w:rPr>
          <w:rFonts w:ascii="Times New Roman" w:hAnsi="Times New Roman" w:eastAsia="仿宋_GB2312"/>
          <w:sz w:val="32"/>
          <w:szCs w:val="32"/>
        </w:rPr>
        <w:t>条</w:t>
      </w:r>
      <w:r>
        <w:rPr>
          <w:rFonts w:hint="eastAsia" w:ascii="Times New Roman" w:hAnsi="Times New Roman" w:eastAsia="仿宋_GB2312"/>
          <w:sz w:val="32"/>
          <w:szCs w:val="32"/>
        </w:rPr>
        <w:t>（详见附件）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具体情况如下：</w:t>
      </w:r>
    </w:p>
    <w:p>
      <w:pPr>
        <w:widowControl w:val="0"/>
        <w:wordWrap/>
        <w:adjustRightInd/>
        <w:snapToGrid/>
        <w:spacing w:line="580" w:lineRule="exact"/>
        <w:ind w:left="0" w:leftChars="0" w:right="0"/>
        <w:textAlignment w:val="auto"/>
        <w:outlineLvl w:val="9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    一、“粤信融”平台情况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“粤信融”平台由</w:t>
      </w:r>
      <w:r>
        <w:fldChar w:fldCharType="begin"/>
      </w:r>
      <w:r>
        <w:instrText xml:space="preserve">HYPERLINK "https://www.so.com/link?m=bKtn266H97ORaSs4Ucb3dHvErwTJIzlf7Yvbt7%2BKtyri5%2F7VsSj0%2BWJXtIiN%2BtM0mgc0AsoGq9aYIEYjPeFu7iEwu3x9xVMs092yZywFymL2ClSZEF3%2B67YKuRE2c9icNVoZ0PJV83LP5Hhooihr823Ypzk4Xrar6p5a6hhizf4GY3eh9J4OoVvcO1wE%3D" \t "_blank" </w:instrText>
      </w:r>
      <w: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人民银行东莞市中心支行</w:t>
      </w:r>
      <w:r>
        <w:fldChar w:fldCharType="end"/>
      </w:r>
      <w:r>
        <w:rPr>
          <w:rFonts w:ascii="Times New Roman" w:hAnsi="Times New Roman" w:eastAsia="仿宋_GB2312"/>
          <w:sz w:val="32"/>
          <w:szCs w:val="32"/>
        </w:rPr>
        <w:t>负责牵头运营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截止2020年12月31日，“粤信融”平台接受东莞市有关部门提供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五</w:t>
      </w:r>
      <w:r>
        <w:rPr>
          <w:rFonts w:hint="eastAsia" w:ascii="Times New Roman" w:hAnsi="Times New Roman" w:eastAsia="仿宋_GB2312"/>
          <w:sz w:val="32"/>
          <w:szCs w:val="32"/>
        </w:rPr>
        <w:t>大</w:t>
      </w:r>
      <w:r>
        <w:rPr>
          <w:rFonts w:ascii="Times New Roman" w:hAnsi="Times New Roman" w:eastAsia="仿宋_GB2312"/>
          <w:sz w:val="32"/>
          <w:szCs w:val="32"/>
        </w:rPr>
        <w:t>类</w:t>
      </w:r>
      <w:r>
        <w:rPr>
          <w:rFonts w:hint="eastAsia" w:ascii="Times New Roman" w:hAnsi="Times New Roman" w:eastAsia="仿宋_GB2312"/>
          <w:sz w:val="32"/>
          <w:szCs w:val="32"/>
        </w:rPr>
        <w:t>（共76项）</w:t>
      </w:r>
      <w:r>
        <w:rPr>
          <w:rFonts w:ascii="Times New Roman" w:hAnsi="Times New Roman" w:eastAsia="仿宋_GB2312"/>
          <w:sz w:val="32"/>
          <w:szCs w:val="32"/>
        </w:rPr>
        <w:t>信息数据，其中社会组织</w:t>
      </w:r>
      <w:r>
        <w:rPr>
          <w:rFonts w:hint="eastAsia" w:ascii="Times New Roman" w:hAnsi="Times New Roman" w:eastAsia="仿宋_GB2312"/>
          <w:sz w:val="32"/>
          <w:szCs w:val="32"/>
        </w:rPr>
        <w:t>管理</w:t>
      </w:r>
      <w:r>
        <w:rPr>
          <w:rFonts w:ascii="Times New Roman" w:hAnsi="Times New Roman" w:eastAsia="仿宋_GB2312"/>
          <w:sz w:val="32"/>
          <w:szCs w:val="32"/>
        </w:rPr>
        <w:t>及科学技术综合类952928条信息，安全生产及环境管理类19790条信息，国土资源及税务登记类2015991条信息，法院仲裁及投资项目备案类209015条信息，出入境检验检疫类5001条信息。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截止2020年12月31日，“粤信融”平台（东莞市）累计注册企业100077家，成功签订授信合同企业3635家，开通业务银行网点1662个，发布信贷产品178个，成功完成银企融资撮合3979笔，金额193.18亿元，融资平均利率4.96％。</w:t>
      </w:r>
    </w:p>
    <w:p>
      <w:pPr>
        <w:widowControl w:val="0"/>
        <w:wordWrap/>
        <w:adjustRightInd/>
        <w:snapToGrid/>
        <w:spacing w:line="580" w:lineRule="exact"/>
        <w:ind w:left="0" w:leftChars="0" w:right="0"/>
        <w:textAlignment w:val="auto"/>
        <w:outlineLvl w:val="9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    二、“中小融”平台情况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东莞市金融工作局负责牵头做好“中小融”平台推广以及地方信息归集等方面工作。自2020年1月正式上线发布以来，东莞市金融工作局</w:t>
      </w:r>
      <w:r>
        <w:rPr>
          <w:rFonts w:hint="eastAsia" w:ascii="Times New Roman" w:hAnsi="Times New Roman" w:eastAsia="仿宋_GB2312"/>
          <w:sz w:val="32"/>
          <w:szCs w:val="32"/>
        </w:rPr>
        <w:t>牵头</w:t>
      </w:r>
      <w:r>
        <w:rPr>
          <w:rFonts w:ascii="Times New Roman" w:hAnsi="Times New Roman" w:eastAsia="仿宋_GB2312"/>
          <w:sz w:val="32"/>
          <w:szCs w:val="32"/>
        </w:rPr>
        <w:t>大力推广“中小融”平台，积极协调各有关部门推动政务数据的归集和共享，推动辖内金融机构发布金融产品和服务，大力引导中小微企业注册并使用平台。截止2020年12月31日，“</w:t>
      </w:r>
      <w:r>
        <w:rPr>
          <w:rFonts w:hint="eastAsia" w:ascii="Times New Roman" w:hAnsi="Times New Roman" w:eastAsia="仿宋_GB2312"/>
          <w:sz w:val="32"/>
          <w:szCs w:val="32"/>
        </w:rPr>
        <w:t>中小融</w:t>
      </w:r>
      <w:r>
        <w:rPr>
          <w:rFonts w:ascii="Times New Roman" w:hAnsi="Times New Roman" w:eastAsia="仿宋_GB2312"/>
          <w:sz w:val="32"/>
          <w:szCs w:val="32"/>
        </w:rPr>
        <w:t>”平台接受东莞市有关部门提供</w:t>
      </w:r>
      <w:r>
        <w:rPr>
          <w:rFonts w:hint="eastAsia" w:ascii="Times New Roman" w:hAnsi="Times New Roman" w:eastAsia="仿宋_GB2312"/>
          <w:sz w:val="32"/>
          <w:szCs w:val="32"/>
        </w:rPr>
        <w:t>的四</w:t>
      </w:r>
      <w:r>
        <w:rPr>
          <w:rFonts w:ascii="Times New Roman" w:hAnsi="Times New Roman" w:eastAsia="仿宋_GB2312"/>
          <w:sz w:val="32"/>
          <w:szCs w:val="32"/>
        </w:rPr>
        <w:t>类信息数据，其中</w:t>
      </w:r>
      <w:r>
        <w:rPr>
          <w:rFonts w:hint="eastAsia" w:ascii="Times New Roman" w:hAnsi="Times New Roman" w:eastAsia="仿宋_GB2312"/>
          <w:sz w:val="32"/>
          <w:szCs w:val="32"/>
        </w:rPr>
        <w:t>工商变更登记类2386467条信息，平台共享输入类96384</w:t>
      </w:r>
      <w:r>
        <w:rPr>
          <w:rFonts w:ascii="Times New Roman" w:hAnsi="Times New Roman" w:eastAsia="仿宋_GB2312"/>
          <w:sz w:val="32"/>
          <w:szCs w:val="32"/>
        </w:rPr>
        <w:t>条信息，</w:t>
      </w:r>
      <w:r>
        <w:rPr>
          <w:rFonts w:hint="eastAsia" w:ascii="Times New Roman" w:hAnsi="Times New Roman" w:eastAsia="仿宋_GB2312"/>
          <w:sz w:val="32"/>
          <w:szCs w:val="32"/>
        </w:rPr>
        <w:t>企业申请用资</w:t>
      </w:r>
      <w:r>
        <w:rPr>
          <w:rFonts w:ascii="Times New Roman" w:hAnsi="Times New Roman" w:eastAsia="仿宋_GB2312"/>
          <w:sz w:val="32"/>
          <w:szCs w:val="32"/>
        </w:rPr>
        <w:t>管理类</w:t>
      </w:r>
      <w:r>
        <w:rPr>
          <w:rFonts w:hint="eastAsia" w:ascii="Times New Roman" w:hAnsi="Times New Roman" w:eastAsia="仿宋_GB2312"/>
          <w:sz w:val="32"/>
          <w:szCs w:val="32"/>
        </w:rPr>
        <w:t>2268</w:t>
      </w:r>
      <w:r>
        <w:rPr>
          <w:rFonts w:ascii="Times New Roman" w:hAnsi="Times New Roman" w:eastAsia="仿宋_GB2312"/>
          <w:sz w:val="32"/>
          <w:szCs w:val="32"/>
        </w:rPr>
        <w:t>条信息，</w:t>
      </w:r>
      <w:r>
        <w:rPr>
          <w:rFonts w:hint="eastAsia" w:ascii="Times New Roman" w:hAnsi="Times New Roman" w:eastAsia="仿宋_GB2312"/>
          <w:sz w:val="32"/>
          <w:szCs w:val="32"/>
        </w:rPr>
        <w:t>企业登录信息交互类2798</w:t>
      </w:r>
      <w:r>
        <w:rPr>
          <w:rFonts w:ascii="Times New Roman" w:hAnsi="Times New Roman" w:eastAsia="仿宋_GB2312"/>
          <w:sz w:val="32"/>
          <w:szCs w:val="32"/>
        </w:rPr>
        <w:t>条信息，</w:t>
      </w:r>
      <w:r>
        <w:rPr>
          <w:rFonts w:hint="eastAsia" w:ascii="Times New Roman" w:hAnsi="Times New Roman" w:eastAsia="仿宋_GB2312"/>
          <w:sz w:val="32"/>
          <w:szCs w:val="32"/>
        </w:rPr>
        <w:t>企业注册信息备案类6623</w:t>
      </w:r>
      <w:r>
        <w:rPr>
          <w:rFonts w:ascii="Times New Roman" w:hAnsi="Times New Roman" w:eastAsia="仿宋_GB2312"/>
          <w:sz w:val="32"/>
          <w:szCs w:val="32"/>
        </w:rPr>
        <w:t>条信息。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截止2020年12月31日，“中小融”平台东莞注册企业数达6686家，企业申请融资2718笔，企业申请融资额达27.01亿，授信企业数352家，授信额5.92亿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line="580" w:lineRule="exact"/>
        <w:ind w:left="0" w:leftChars="0" w:right="0"/>
        <w:textAlignment w:val="auto"/>
        <w:outlineLvl w:val="9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    三、“信易贷”平台情况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560" w:firstLineChars="175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“信易贷”平台由东莞市发改局负责牵头运营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截止2020年12月31日，平台接受东莞市有关部门提供行政许可类信息177.52万条，行政处罚类信息4.12万条，</w:t>
      </w:r>
      <w:r>
        <w:rPr>
          <w:rFonts w:hint="eastAsia" w:ascii="Times New Roman" w:hAnsi="Times New Roman" w:eastAsia="仿宋_GB2312"/>
          <w:sz w:val="32"/>
          <w:szCs w:val="32"/>
        </w:rPr>
        <w:t>地方性红名单信息、荣誉表彰信息等共189.77万条数据，</w:t>
      </w:r>
      <w:r>
        <w:rPr>
          <w:rFonts w:ascii="Times New Roman" w:hAnsi="Times New Roman" w:eastAsia="仿宋_GB2312"/>
          <w:sz w:val="32"/>
          <w:szCs w:val="32"/>
        </w:rPr>
        <w:t>公用事业缴费数据类信息（其中法人531.01万条，自然人5187.16万条），公用事业缴费欠费类信息（其中法人44.73万条，自然人188.19万条）。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560" w:firstLineChars="175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截止2020年12月31日，“信易贷”平台（东莞市）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东莞注册企业数达108家，企业申请融资108笔，企业申请融资额达4.78亿，授信企业数16家，授信额0.31亿。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560" w:firstLineChars="175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580" w:lineRule="exact"/>
        <w:ind w:left="0" w:leftChars="0" w:right="0" w:firstLine="560" w:firstLineChars="175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附件：非银行信息向“粤信融”“中小融” “信易贷”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560" w:firstLineChars="175"/>
        <w:textAlignment w:val="auto"/>
        <w:outlineLvl w:val="9"/>
        <w:rPr>
          <w:rFonts w:ascii="Times New Roman" w:hAnsi="Times New Roman" w:eastAsia="仿宋_GB2312"/>
          <w:sz w:val="32"/>
          <w:szCs w:val="32"/>
        </w:rPr>
        <w:sectPr>
          <w:headerReference r:id="rId4" w:type="default"/>
          <w:headerReference r:id="rId5" w:type="even"/>
          <w:pgSz w:w="11906" w:h="16838" w:orient="landscape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平台数据库报送数据情况表</w:t>
      </w: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非银行信息向“粤信融”“中小融” “信易贷”平台数据库报送数据情况</w:t>
      </w:r>
      <w:r>
        <w:rPr>
          <w:rFonts w:ascii="Times New Roman" w:hAnsi="Times New Roman" w:eastAsia="仿宋_GB2312"/>
          <w:b/>
          <w:sz w:val="32"/>
          <w:szCs w:val="32"/>
        </w:rPr>
        <w:t>表</w:t>
      </w:r>
    </w:p>
    <w:p>
      <w:pPr>
        <w:spacing w:line="60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（单位：条）</w:t>
      </w:r>
    </w:p>
    <w:tbl>
      <w:tblPr>
        <w:tblStyle w:val="8"/>
        <w:tblW w:w="13305" w:type="dxa"/>
        <w:jc w:val="center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2461"/>
        <w:gridCol w:w="1981"/>
        <w:gridCol w:w="2100"/>
        <w:gridCol w:w="2910"/>
        <w:gridCol w:w="22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618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280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名称</w:t>
            </w:r>
          </w:p>
        </w:tc>
        <w:tc>
          <w:tcPr>
            <w:tcW w:w="24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社会组织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管理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及科学技术综合类信息</w:t>
            </w: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安全生产及环境管理类信息</w:t>
            </w: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国土资源及税务登记类信息</w:t>
            </w:r>
          </w:p>
        </w:tc>
        <w:tc>
          <w:tcPr>
            <w:tcW w:w="29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法院仲裁及投资项目备案类信息</w:t>
            </w:r>
          </w:p>
        </w:tc>
        <w:tc>
          <w:tcPr>
            <w:tcW w:w="22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出入境检验检疫类信息</w:t>
            </w:r>
          </w:p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18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“粤信融”</w:t>
            </w:r>
          </w:p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平台</w:t>
            </w:r>
          </w:p>
        </w:tc>
        <w:tc>
          <w:tcPr>
            <w:tcW w:w="24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952928</w:t>
            </w: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19790</w:t>
            </w: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2015991</w:t>
            </w:r>
          </w:p>
        </w:tc>
        <w:tc>
          <w:tcPr>
            <w:tcW w:w="29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209015</w:t>
            </w:r>
          </w:p>
        </w:tc>
        <w:tc>
          <w:tcPr>
            <w:tcW w:w="22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618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名称</w:t>
            </w:r>
          </w:p>
        </w:tc>
        <w:tc>
          <w:tcPr>
            <w:tcW w:w="24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工商变更登记类</w:t>
            </w: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平台共享输入类</w:t>
            </w: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企业申请用资</w:t>
            </w:r>
          </w:p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管理类</w:t>
            </w:r>
          </w:p>
        </w:tc>
        <w:tc>
          <w:tcPr>
            <w:tcW w:w="29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企业登录信息交互类</w:t>
            </w:r>
          </w:p>
        </w:tc>
        <w:tc>
          <w:tcPr>
            <w:tcW w:w="22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企业注册信息备案类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6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“中小融”平台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2386467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96384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2268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2798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6623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6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名称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行政许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可信息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行政处罚信息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地方性红名单信息及荣誉表彰信息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公用事业缴费数据信息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公用事业缴费欠费信息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6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bookmarkStart w:id="0" w:name="_GoBack" w:colFirst="1" w:colLast="5"/>
            <w:r>
              <w:rPr>
                <w:rFonts w:ascii="Times New Roman" w:hAnsi="Times New Roman" w:eastAsia="仿宋_GB2312"/>
                <w:sz w:val="28"/>
                <w:szCs w:val="28"/>
              </w:rPr>
              <w:t>“信易贷”</w:t>
            </w:r>
          </w:p>
          <w:p>
            <w:pPr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平台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1775200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41200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1897700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57181700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2329200</w:t>
            </w:r>
          </w:p>
        </w:tc>
      </w:tr>
      <w:bookmarkEnd w:id="0"/>
    </w:tbl>
    <w:p>
      <w:pPr>
        <w:widowControl/>
        <w:rPr>
          <w:rFonts w:ascii="Times New Roman" w:hAnsi="Times New Roman" w:eastAsia="仿宋_GB2312"/>
          <w:sz w:val="28"/>
          <w:szCs w:val="28"/>
        </w:rPr>
      </w:pPr>
    </w:p>
    <w:sectPr>
      <w:pgSz w:w="16838" w:h="11906" w:orient="landscape"/>
      <w:pgMar w:top="709" w:right="1440" w:bottom="0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90568"/>
    <w:rsid w:val="00047EFF"/>
    <w:rsid w:val="00095D65"/>
    <w:rsid w:val="000B2F9F"/>
    <w:rsid w:val="000E611F"/>
    <w:rsid w:val="000F515C"/>
    <w:rsid w:val="001960B5"/>
    <w:rsid w:val="002316BC"/>
    <w:rsid w:val="002C6C8B"/>
    <w:rsid w:val="003063C0"/>
    <w:rsid w:val="003147E6"/>
    <w:rsid w:val="00317713"/>
    <w:rsid w:val="00335323"/>
    <w:rsid w:val="00396EF8"/>
    <w:rsid w:val="004934CB"/>
    <w:rsid w:val="004D1204"/>
    <w:rsid w:val="00607980"/>
    <w:rsid w:val="007C38DD"/>
    <w:rsid w:val="007D1454"/>
    <w:rsid w:val="00840495"/>
    <w:rsid w:val="0086300B"/>
    <w:rsid w:val="00872022"/>
    <w:rsid w:val="00927549"/>
    <w:rsid w:val="00946760"/>
    <w:rsid w:val="00A87225"/>
    <w:rsid w:val="00A92BA6"/>
    <w:rsid w:val="00A964F7"/>
    <w:rsid w:val="00AD7BF1"/>
    <w:rsid w:val="00B51ECF"/>
    <w:rsid w:val="00B51FE3"/>
    <w:rsid w:val="00B6083E"/>
    <w:rsid w:val="00B81B84"/>
    <w:rsid w:val="00B82CA6"/>
    <w:rsid w:val="00CD1DD3"/>
    <w:rsid w:val="00D346FB"/>
    <w:rsid w:val="00D46089"/>
    <w:rsid w:val="00D52C01"/>
    <w:rsid w:val="00D90568"/>
    <w:rsid w:val="00DB56C3"/>
    <w:rsid w:val="00DE5B38"/>
    <w:rsid w:val="00DF595F"/>
    <w:rsid w:val="00E92966"/>
    <w:rsid w:val="00FD26F6"/>
    <w:rsid w:val="00FD5BB3"/>
    <w:rsid w:val="01CE3E86"/>
    <w:rsid w:val="02AC21EF"/>
    <w:rsid w:val="037E2547"/>
    <w:rsid w:val="050071C0"/>
    <w:rsid w:val="069B49E3"/>
    <w:rsid w:val="07D53466"/>
    <w:rsid w:val="08A03E34"/>
    <w:rsid w:val="0AF33383"/>
    <w:rsid w:val="0B786E60"/>
    <w:rsid w:val="0C4A71B8"/>
    <w:rsid w:val="0CD04E93"/>
    <w:rsid w:val="0E270CC8"/>
    <w:rsid w:val="0F6F44E2"/>
    <w:rsid w:val="0FE20F9D"/>
    <w:rsid w:val="128A7BF7"/>
    <w:rsid w:val="134F44BD"/>
    <w:rsid w:val="16B6444E"/>
    <w:rsid w:val="184F4570"/>
    <w:rsid w:val="1A885114"/>
    <w:rsid w:val="1AF866CC"/>
    <w:rsid w:val="1B7C6CA6"/>
    <w:rsid w:val="1DDE6490"/>
    <w:rsid w:val="1E8659A4"/>
    <w:rsid w:val="1EB0218B"/>
    <w:rsid w:val="227E3026"/>
    <w:rsid w:val="2491398A"/>
    <w:rsid w:val="29053E59"/>
    <w:rsid w:val="29AE6BF1"/>
    <w:rsid w:val="2A093A87"/>
    <w:rsid w:val="2A743136"/>
    <w:rsid w:val="2AF74609"/>
    <w:rsid w:val="2B611ABA"/>
    <w:rsid w:val="2C74287C"/>
    <w:rsid w:val="2D607001"/>
    <w:rsid w:val="2DB46A8B"/>
    <w:rsid w:val="2ED72066"/>
    <w:rsid w:val="2F305F78"/>
    <w:rsid w:val="2FBC35DD"/>
    <w:rsid w:val="30CC121C"/>
    <w:rsid w:val="332116F0"/>
    <w:rsid w:val="33B36A61"/>
    <w:rsid w:val="35571310"/>
    <w:rsid w:val="35AB0D9A"/>
    <w:rsid w:val="37666E72"/>
    <w:rsid w:val="37BC6A2B"/>
    <w:rsid w:val="39301960"/>
    <w:rsid w:val="3A5A0149"/>
    <w:rsid w:val="3DA20EAA"/>
    <w:rsid w:val="3DA940B9"/>
    <w:rsid w:val="3F0120EC"/>
    <w:rsid w:val="3F235B23"/>
    <w:rsid w:val="401B2CE8"/>
    <w:rsid w:val="40C377CE"/>
    <w:rsid w:val="414C642D"/>
    <w:rsid w:val="42D178AE"/>
    <w:rsid w:val="43721636"/>
    <w:rsid w:val="43D638D9"/>
    <w:rsid w:val="43F87310"/>
    <w:rsid w:val="442A5561"/>
    <w:rsid w:val="44386040"/>
    <w:rsid w:val="454105AC"/>
    <w:rsid w:val="46120C85"/>
    <w:rsid w:val="4856343D"/>
    <w:rsid w:val="487C587B"/>
    <w:rsid w:val="48816480"/>
    <w:rsid w:val="4890451C"/>
    <w:rsid w:val="49BD3C89"/>
    <w:rsid w:val="4A65539B"/>
    <w:rsid w:val="4BF23C29"/>
    <w:rsid w:val="4CDF25AC"/>
    <w:rsid w:val="4CF54750"/>
    <w:rsid w:val="4DB53509"/>
    <w:rsid w:val="4EC66BCA"/>
    <w:rsid w:val="4FC3106B"/>
    <w:rsid w:val="579953C3"/>
    <w:rsid w:val="57C16588"/>
    <w:rsid w:val="5B2F7529"/>
    <w:rsid w:val="5D4E3CA0"/>
    <w:rsid w:val="5F7A4635"/>
    <w:rsid w:val="611F6EE4"/>
    <w:rsid w:val="641A7B46"/>
    <w:rsid w:val="64B07140"/>
    <w:rsid w:val="68D9718F"/>
    <w:rsid w:val="693B7234"/>
    <w:rsid w:val="69AB74E8"/>
    <w:rsid w:val="6A115F93"/>
    <w:rsid w:val="6CE626FD"/>
    <w:rsid w:val="6D24429C"/>
    <w:rsid w:val="6EF23592"/>
    <w:rsid w:val="6FDA1311"/>
    <w:rsid w:val="719637E6"/>
    <w:rsid w:val="72000C97"/>
    <w:rsid w:val="721056AE"/>
    <w:rsid w:val="72B84BC2"/>
    <w:rsid w:val="735018BD"/>
    <w:rsid w:val="738D1722"/>
    <w:rsid w:val="74A756F2"/>
    <w:rsid w:val="7785635A"/>
    <w:rsid w:val="78792B34"/>
    <w:rsid w:val="7A5977C7"/>
    <w:rsid w:val="7D345976"/>
    <w:rsid w:val="7DC73FEB"/>
    <w:rsid w:val="7E863124"/>
    <w:rsid w:val="7F4D186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table" w:styleId="8">
    <w:name w:val="Table Grid"/>
    <w:basedOn w:val="7"/>
    <w:uiPriority w:val="59"/>
    <w:pPr/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9">
    <w:name w:val="Light List Accent 2"/>
    <w:basedOn w:val="7"/>
    <w:uiPriority w:val="61"/>
    <w:pPr/>
    <w:tblPr>
      <w:tblStyle w:val="7"/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7"/>
        <w:tblLayout w:type="fixed"/>
      </w:tblPr>
      <w:tcPr>
        <w:shd w:val="clear" w:color="auto" w:fill="C0504D"/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7"/>
        <w:tblLayout w:type="fixed"/>
      </w:tblPr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7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7"/>
        <w:tblLayout w:type="fixed"/>
      </w:tblPr>
      <w:tcPr>
        <w:textDirection w:val="lrTb"/>
      </w:tcPr>
    </w:tblStylePr>
    <w:tblStylePr w:type="band1Vert">
      <w:tblPr>
        <w:tblStyle w:val="7"/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band1Horz">
      <w:tblPr>
        <w:tblStyle w:val="7"/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styleId="10">
    <w:name w:val="Light List Accent 5"/>
    <w:basedOn w:val="7"/>
    <w:uiPriority w:val="61"/>
    <w:pPr/>
    <w:tblPr>
      <w:tblStyle w:val="7"/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7"/>
        <w:tblLayout w:type="fixed"/>
      </w:tblPr>
      <w:tcPr>
        <w:shd w:val="clear" w:color="auto" w:fill="4BACC6"/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7"/>
        <w:tblLayout w:type="fixed"/>
      </w:tbl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7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7"/>
        <w:tblLayout w:type="fixed"/>
      </w:tblPr>
      <w:tcPr>
        <w:textDirection w:val="lrTb"/>
      </w:tcPr>
    </w:tblStylePr>
    <w:tblStylePr w:type="band1Vert">
      <w:tblPr>
        <w:tblStyle w:val="7"/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band1Horz">
      <w:tblPr>
        <w:tblStyle w:val="7"/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textDirection w:val="lrTb"/>
      </w:tcPr>
    </w:tblStylePr>
  </w:style>
  <w:style w:type="character" w:customStyle="1" w:styleId="11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3">
    <w:name w:val="标题 3 Char"/>
    <w:basedOn w:val="5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264</Words>
  <Characters>1509</Characters>
  <Lines>12</Lines>
  <Paragraphs>3</Paragraphs>
  <TotalTime>0</TotalTime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2021-01-22T06:08:00Z</dcterms:created>
  <dc:creator>mp</dc:creator>
  <cp:lastModifiedBy>zyq</cp:lastModifiedBy>
  <dcterms:modified xsi:type="dcterms:W3CDTF">2021-01-22T06:40:42Z</dcterms:modified>
  <dc:title>东莞市非银行信息向平台数据报送情况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