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600"/>
        </w:tabs>
        <w:spacing w:line="580" w:lineRule="exact"/>
        <w:rPr>
          <w:szCs w:val="32"/>
        </w:rPr>
      </w:pPr>
      <w:bookmarkStart w:id="0" w:name="_GoBack"/>
      <w:r>
        <w:rPr>
          <w:rFonts w:hint="eastAsia"/>
          <w:szCs w:val="32"/>
        </w:rPr>
        <w:t>附件</w:t>
      </w: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sz w:val="44"/>
          <w:szCs w:val="44"/>
        </w:rPr>
      </w:pP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年东莞市培育企业发展利用资本</w:t>
      </w: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color w:val="000000"/>
          <w:kern w:val="0"/>
          <w:szCs w:val="32"/>
        </w:rPr>
      </w:pPr>
      <w:r>
        <w:rPr>
          <w:rFonts w:hint="eastAsia"/>
          <w:sz w:val="44"/>
          <w:szCs w:val="44"/>
        </w:rPr>
        <w:t>市场奖励情况（第一期）</w:t>
      </w:r>
    </w:p>
    <w:bookmarkEnd w:id="0"/>
    <w:p>
      <w:pPr>
        <w:spacing w:line="60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（万元）</w:t>
      </w:r>
    </w:p>
    <w:tbl>
      <w:tblPr>
        <w:tblStyle w:val="3"/>
        <w:tblW w:w="8863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812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21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企业名称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申请奖励金额（万元）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广东汇成真空科技股份有限公司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宏工科技股份有限公司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东莞长联新材料科技股份有限公司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天佑物流股份有限公司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广东融通融资租赁有限公司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东莞市易利特新能源有限公司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933</w:t>
            </w:r>
          </w:p>
        </w:tc>
      </w:tr>
    </w:tbl>
    <w:p>
      <w:pPr>
        <w:spacing w:line="600" w:lineRule="exact"/>
        <w:jc w:val="center"/>
        <w:rPr>
          <w:sz w:val="44"/>
          <w:szCs w:val="44"/>
        </w:rPr>
      </w:pPr>
    </w:p>
    <w:p/>
    <w:sectPr>
      <w:headerReference r:id="rId3" w:type="default"/>
      <w:headerReference r:id="rId4" w:type="even"/>
      <w:pgSz w:w="11906" w:h="16838"/>
      <w:pgMar w:top="1701" w:right="1531" w:bottom="1588" w:left="1531" w:header="851" w:footer="992" w:gutter="0"/>
      <w:pgBorders w:display="firstPage">
        <w:bottom w:val="thickThinSmallGap" w:color="FF0000" w:sz="24" w:space="1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24C55"/>
    <w:rsid w:val="CDF2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2023-06-30T11:37:00Z</dcterms:created>
  <dc:creator>汤永林</dc:creator>
  <cp:lastModifiedBy>汤永林</cp:lastModifiedBy>
  <dcterms:modified xsi:type="dcterms:W3CDTF">2023-06-30T11:37:46Z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