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大标宋简体"/>
          <w:sz w:val="44"/>
          <w:szCs w:val="44"/>
        </w:rPr>
      </w:pPr>
      <w:r>
        <w:rPr>
          <w:rFonts w:hint="eastAsia" w:ascii="方正小标宋简体" w:hAnsi="黑体" w:eastAsia="方正小标宋简体"/>
          <w:sz w:val="44"/>
          <w:szCs w:val="44"/>
        </w:rPr>
        <w:t>东莞市设立风险缓释基金情况</w:t>
      </w:r>
    </w:p>
    <w:p>
      <w:pPr>
        <w:spacing w:line="600" w:lineRule="exact"/>
        <w:jc w:val="center"/>
        <w:rPr>
          <w:rFonts w:ascii="Times New Roman" w:hAnsi="Times New Roman" w:eastAsia="方正大标宋简体"/>
          <w:sz w:val="44"/>
          <w:szCs w:val="44"/>
        </w:rPr>
      </w:pP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w:t>
      </w:r>
      <w:r>
        <w:rPr>
          <w:rFonts w:hint="eastAsia" w:ascii="Times New Roman" w:hAnsi="Times New Roman" w:eastAsia="仿宋_GB2312"/>
          <w:sz w:val="32"/>
          <w:szCs w:val="32"/>
        </w:rPr>
        <w:t>以来，东莞市通过融资担保费率补贴、中小微企业白名单风险补偿、上市纾困基金运作等方面，多措并举，进一步加大企业融资支持力度，积极构建为制造业企业提供优惠利率资金和低成本融资支持的合作机制，增加面向中小企业的金融服务</w:t>
      </w:r>
      <w:bookmarkStart w:id="0" w:name="_GoBack"/>
      <w:bookmarkEnd w:id="0"/>
      <w:r>
        <w:rPr>
          <w:rFonts w:hint="eastAsia" w:ascii="Times New Roman" w:hAnsi="Times New Roman" w:eastAsia="仿宋_GB2312"/>
          <w:sz w:val="32"/>
          <w:szCs w:val="32"/>
        </w:rPr>
        <w:t>供给，真正缓解企业融资难，大力实施中小微企业风险补偿。</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一、东莞市融资担保费率专项补贴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年6月，东莞市政府出台了融资担保费率专项补贴政策，通过给予政府性融资担保机构新增融资担保业务2%的费率补贴，使企业承担的担保费率控制在1%以下，大大降低了中小微企业的融资成本，并为银担企合作打开了空间，引导金融机构精准快速发放贷款，加大对中小微企业的支持力度。截至12月末，已向融资担保机构为中小微企业增信融资发放费率补贴497.8万元，撬动新增融资担保业务24890万元。第五批融资担保费率补贴申请资金182万元通过审批准备拨款，撬动新增融资担保业务9100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二、东莞市中小微企业贷款风险补偿</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（一）风险补偿政策基本情况。</w:t>
      </w:r>
      <w:r>
        <w:rPr>
          <w:rFonts w:hint="eastAsia" w:ascii="Times New Roman" w:hAnsi="Times New Roman" w:eastAsia="仿宋_GB2312"/>
          <w:sz w:val="32"/>
          <w:szCs w:val="32"/>
        </w:rPr>
        <w:t>为缓解中小企业融资难、融资贵的问题，我市从2018年12月开始实施中小微企业贷款风险补偿政策。由市镇财政共同出资2亿元，对合作银行提供占贷款本金总额2%的风险补偿，促成银行机构“敢贷”、“可贷”、“愿贷”。</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2020年6月，根据《东莞市保企业、促复苏、稳增长专项资金设立方案》（东经指[2020]5号）的精神，风险补偿政策进行了提质扩面：扩大资金规模——从原来的2.1亿元（市镇财政共同出资的2亿元加上中央的1千万奖励资金）增加到10亿元；扩大企业覆盖面——在原42240家“白名单”企业基础上，扩大至市经济运行监测调度指挥部A、B库企业，省、市重大项目投资方，供应链金融平台，以及银行运用支小再贷款发放的信用类贷款支持的市场经营主体）；增加合作银行——从原有的5家银行机构扩大至所有在莞银行机构）；增加贷款种类——补偿类型从一年期的信用贷款扩大至线上（含省中小融平台东莞地区贷款）随借随还一年期信用贷款，最长不超过三年期的信用贷款，应收账款质押、股权质押、知识产权质押等质押贷款，本土企业首次贷款、支小再贷款等）；提高风险补偿比例——2020年内将补偿比例提高至4%，2021年退坡至3%，自2022年起恢复为2%。</w:t>
      </w:r>
    </w:p>
    <w:p>
      <w:pPr>
        <w:spacing w:line="600" w:lineRule="exact"/>
        <w:ind w:firstLine="640" w:firstLineChars="200"/>
        <w:rPr>
          <w:rFonts w:ascii="黑体" w:hAnsi="黑体" w:eastAsia="黑体"/>
          <w:sz w:val="32"/>
          <w:szCs w:val="32"/>
        </w:rPr>
      </w:pPr>
      <w:r>
        <w:rPr>
          <w:rFonts w:hint="eastAsia" w:ascii="楷体_GB2312" w:hAnsi="Times New Roman" w:eastAsia="楷体_GB2312"/>
          <w:sz w:val="32"/>
          <w:szCs w:val="32"/>
        </w:rPr>
        <w:t>（二）风险补偿基本实施情况</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1.白名单日益壮大。</w:t>
      </w:r>
      <w:r>
        <w:rPr>
          <w:rFonts w:hint="eastAsia" w:ascii="Times New Roman" w:hAnsi="Times New Roman" w:eastAsia="仿宋_GB2312"/>
          <w:sz w:val="32"/>
          <w:szCs w:val="32"/>
        </w:rPr>
        <w:t>在2019年7月公布第一批35811家白名单（以制造业企业为主）的基础上，2020年2月公布了第二批5967家白名单（以信息传输、软件和信息技术服务业企业；第一、二批非公有制经济企业；“专精特新”企业等为主）。结合抗击疫情的需要，根据我市“助企撑企15条”中“扩大企业贷款风险补偿”的精神，市工信局紧急扩大风险补偿白名单范围，2020年将7批479家应急物资生产企业纳入白名单。根据《东莞市保企业、促复苏、稳增长专项资金设立方案》（东经指〔2020〕5号）的精神，2020年9月公布了以市经济运行监测调度指挥部A、B库企业，省、市重大项目投资方，“小升规”及培育库企业为主的第三批3242家白名单。截至2020年12月，全市共有白名单企业45496家。</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2.融资力度不断增加。</w:t>
      </w:r>
      <w:r>
        <w:rPr>
          <w:rFonts w:hint="eastAsia" w:ascii="Times New Roman" w:hAnsi="Times New Roman" w:eastAsia="仿宋_GB2312"/>
          <w:sz w:val="32"/>
          <w:szCs w:val="32"/>
        </w:rPr>
        <w:t>在建立完善白名单的同时，通过积极引导、着力推动风险补偿政策试点合作银行对白名单企业强化贷款支持、组织融资对接会等方式，加大融资力度，成效突出：从政策开始实施的2018年12月至2020年12月，白名单企业新增贷款笔数29344笔，贷款金额880.19亿元。2020年，白名单企业新增贷款17545笔，贷款金额588.71亿元，加上支小再贷款的124亿元，全年累计撬动银行新增贷款712.71亿元，超额完成全年撬动不少于250亿元目标的2.85倍。截止2020年底，共有10笔贷款申报风险补偿，金额401万元。</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sz w:val="32"/>
          <w:szCs w:val="32"/>
        </w:rPr>
        <w:t>3.扩面提质力度加大。</w:t>
      </w:r>
      <w:r>
        <w:rPr>
          <w:rFonts w:hint="eastAsia" w:ascii="Times New Roman" w:hAnsi="Times New Roman" w:eastAsia="仿宋_GB2312"/>
          <w:sz w:val="32"/>
          <w:szCs w:val="32"/>
        </w:rPr>
        <w:t>扩面方面，2020年通过增加资金规模、扩大企业覆盖面、增加合作银行、增加贷款种类、提高风险补偿比例等手段，尤其是将本土企业的首次贷款、支小再贷款也纳入了风险补偿范围，将资金规模从2.1亿元增加到10亿元、合作银行从5家增加到31家，有效地扩大了政策的受惠面。提质方面，加快建立项目申报系统，并通过“企莞家”平台、政策宣贯会、政策现场培训等方式迅速开展宣传，组织线上申报。同时，坚持加快政策落地兑现，通过压缩流程、限定部门审核办结时间等方式，加快项目资金拨付。</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三、上市纾困基金运作</w:t>
      </w:r>
    </w:p>
    <w:p>
      <w:pPr>
        <w:spacing w:line="600" w:lineRule="exact"/>
        <w:ind w:firstLine="640" w:firstLineChars="200"/>
        <w:rPr>
          <w:rFonts w:ascii="楷体_GB2312" w:hAnsi="Times New Roman" w:eastAsia="楷体_GB2312"/>
          <w:sz w:val="32"/>
          <w:szCs w:val="32"/>
        </w:rPr>
      </w:pPr>
      <w:r>
        <w:rPr>
          <w:rFonts w:hint="eastAsia" w:ascii="Times New Roman" w:hAnsi="Times New Roman" w:eastAsia="仿宋_GB2312"/>
          <w:sz w:val="32"/>
          <w:szCs w:val="32"/>
        </w:rPr>
        <w:t>2018年10月19日，东莞市上市莞企发展投资合伙企业（有限合伙）（简称“上市莞企基金”）注册成立，后续成立东莞市上市莞企二号发展投资合伙企业（有限合伙），</w:t>
      </w:r>
      <w:r>
        <w:rPr>
          <w:rFonts w:hint="eastAsia" w:ascii="楷体_GB2312" w:hAnsi="Times New Roman" w:eastAsia="楷体_GB2312"/>
          <w:sz w:val="32"/>
          <w:szCs w:val="32"/>
        </w:rPr>
        <w:t>取得不错的社会效益。</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（一）助力企业在莞发展。</w:t>
      </w:r>
      <w:r>
        <w:rPr>
          <w:rFonts w:hint="eastAsia" w:ascii="Times New Roman" w:hAnsi="Times New Roman" w:eastAsia="仿宋_GB2312"/>
          <w:sz w:val="32"/>
          <w:szCs w:val="32"/>
        </w:rPr>
        <w:t>在实施纾困过程中，已纾困的上市公司没有出现注册地迁移，大股东的股票质押风险延续缓释态势，未出现爆仓导致控制权被动变更等情况，相关企业继续在我市稳定经营，有效地实现了纾困基金作为政策性基金的设立初衷与目的。</w:t>
      </w:r>
    </w:p>
    <w:p>
      <w:pPr>
        <w:spacing w:line="600" w:lineRule="exact"/>
        <w:ind w:firstLine="640" w:firstLineChars="200"/>
        <w:rPr>
          <w:rFonts w:ascii="Times New Roman" w:hAnsi="Times New Roman" w:eastAsia="仿宋_GB2312"/>
          <w:sz w:val="32"/>
          <w:szCs w:val="32"/>
        </w:rPr>
      </w:pPr>
      <w:r>
        <w:rPr>
          <w:rFonts w:hint="eastAsia" w:ascii="楷体_GB2312" w:hAnsi="Times New Roman" w:eastAsia="楷体_GB2312"/>
          <w:sz w:val="32"/>
          <w:szCs w:val="32"/>
        </w:rPr>
        <w:t>（二）维护地方金融稳定。</w:t>
      </w:r>
      <w:r>
        <w:rPr>
          <w:rFonts w:hint="eastAsia" w:ascii="Times New Roman" w:hAnsi="Times New Roman" w:eastAsia="仿宋_GB2312"/>
          <w:sz w:val="32"/>
          <w:szCs w:val="32"/>
        </w:rPr>
        <w:t>通过对企业多层次的帮扶，积极协调上市公司及其大股东债务，及时化解企业信用风险。除了提供直接资金支持外，对于部分上市企业大股东债务金额较高，甚至高于其质押的股票市值，出现资不抵债的情况，为避免信用风险进一步放大，基金积极与债权机构协商，通过组织企业债权人会议、引入第三方资本公司、金融机构，以债务重组、产业并购的思路进行运作，为企业的后续发展提出更优化的解决方案，优化公司治理结构和财务结构，减轻债务包袱，帮助公司恢复持续经营和盈利能力。</w:t>
      </w:r>
    </w:p>
    <w:sectPr>
      <w:footerReference r:id="rId3" w:type="default"/>
      <w:foot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Style w:val="6"/>
        <w:rFonts w:hint="eastAsia"/>
      </w:rPr>
      <w:t>—</w:t>
    </w:r>
    <w:r>
      <w:fldChar w:fldCharType="begin"/>
    </w:r>
    <w:r>
      <w:rPr>
        <w:rStyle w:val="6"/>
      </w:rPr>
      <w:instrText xml:space="preserve">PAGE  </w:instrText>
    </w:r>
    <w:r>
      <w:fldChar w:fldCharType="separate"/>
    </w:r>
    <w:r>
      <w:rPr>
        <w:rStyle w:val="6"/>
      </w:rPr>
      <w:t>3</w:t>
    </w:r>
    <w:r>
      <w:fldChar w:fldCharType="end"/>
    </w:r>
    <w:r>
      <w:rPr>
        <w:rStyle w:val="6"/>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6"/>
        <w:rFonts w:hint="eastAsia"/>
      </w:rPr>
      <w:t>—</w:t>
    </w:r>
    <w:r>
      <w:fldChar w:fldCharType="begin"/>
    </w:r>
    <w:r>
      <w:rPr>
        <w:rStyle w:val="6"/>
      </w:rPr>
      <w:instrText xml:space="preserve">PAGE  </w:instrText>
    </w:r>
    <w:r>
      <w:fldChar w:fldCharType="separate"/>
    </w:r>
    <w:r>
      <w:rPr>
        <w:rStyle w:val="6"/>
      </w:rPr>
      <w:t>4</w:t>
    </w:r>
    <w:r>
      <w:fldChar w:fldCharType="end"/>
    </w:r>
    <w:r>
      <w:rPr>
        <w:rStyle w:val="6"/>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7858"/>
    <w:rsid w:val="00005A1D"/>
    <w:rsid w:val="00022B85"/>
    <w:rsid w:val="00037411"/>
    <w:rsid w:val="00066E25"/>
    <w:rsid w:val="00086184"/>
    <w:rsid w:val="00092AC1"/>
    <w:rsid w:val="00094C7F"/>
    <w:rsid w:val="000C051C"/>
    <w:rsid w:val="000C3188"/>
    <w:rsid w:val="000D6465"/>
    <w:rsid w:val="000D789E"/>
    <w:rsid w:val="000E556C"/>
    <w:rsid w:val="000F4CCF"/>
    <w:rsid w:val="00145D4D"/>
    <w:rsid w:val="001B222A"/>
    <w:rsid w:val="001F51B7"/>
    <w:rsid w:val="00217BF7"/>
    <w:rsid w:val="0025075A"/>
    <w:rsid w:val="002721BF"/>
    <w:rsid w:val="0027456F"/>
    <w:rsid w:val="002764A5"/>
    <w:rsid w:val="00277281"/>
    <w:rsid w:val="00291B29"/>
    <w:rsid w:val="002C1C14"/>
    <w:rsid w:val="002C2D4A"/>
    <w:rsid w:val="002C3D26"/>
    <w:rsid w:val="002D5B64"/>
    <w:rsid w:val="002E43A5"/>
    <w:rsid w:val="002F6DF0"/>
    <w:rsid w:val="003122A2"/>
    <w:rsid w:val="003463D6"/>
    <w:rsid w:val="003A1629"/>
    <w:rsid w:val="003A17E5"/>
    <w:rsid w:val="003B35B8"/>
    <w:rsid w:val="003C22F0"/>
    <w:rsid w:val="003D6E4F"/>
    <w:rsid w:val="003E29DA"/>
    <w:rsid w:val="003F483A"/>
    <w:rsid w:val="004170B5"/>
    <w:rsid w:val="00436106"/>
    <w:rsid w:val="00467232"/>
    <w:rsid w:val="004A477A"/>
    <w:rsid w:val="005019CE"/>
    <w:rsid w:val="00502A42"/>
    <w:rsid w:val="005140E1"/>
    <w:rsid w:val="005308EC"/>
    <w:rsid w:val="00567858"/>
    <w:rsid w:val="00594680"/>
    <w:rsid w:val="005B5B06"/>
    <w:rsid w:val="005C538E"/>
    <w:rsid w:val="005C70B2"/>
    <w:rsid w:val="005E4EEC"/>
    <w:rsid w:val="005F000C"/>
    <w:rsid w:val="0060349B"/>
    <w:rsid w:val="00603554"/>
    <w:rsid w:val="00630033"/>
    <w:rsid w:val="00630301"/>
    <w:rsid w:val="00645128"/>
    <w:rsid w:val="006839C7"/>
    <w:rsid w:val="006A41EA"/>
    <w:rsid w:val="006D735A"/>
    <w:rsid w:val="006F5DF8"/>
    <w:rsid w:val="007059E3"/>
    <w:rsid w:val="00712360"/>
    <w:rsid w:val="0076300D"/>
    <w:rsid w:val="00767B30"/>
    <w:rsid w:val="007A2D34"/>
    <w:rsid w:val="007C1019"/>
    <w:rsid w:val="007C362A"/>
    <w:rsid w:val="007C7569"/>
    <w:rsid w:val="007D4415"/>
    <w:rsid w:val="007F6561"/>
    <w:rsid w:val="00812106"/>
    <w:rsid w:val="00826BAB"/>
    <w:rsid w:val="00832CB6"/>
    <w:rsid w:val="00840360"/>
    <w:rsid w:val="00841B6C"/>
    <w:rsid w:val="008552CE"/>
    <w:rsid w:val="008663BC"/>
    <w:rsid w:val="00882ACC"/>
    <w:rsid w:val="008A7822"/>
    <w:rsid w:val="008D72DA"/>
    <w:rsid w:val="008E2F86"/>
    <w:rsid w:val="008F5AD1"/>
    <w:rsid w:val="0091755D"/>
    <w:rsid w:val="00942890"/>
    <w:rsid w:val="009A13C2"/>
    <w:rsid w:val="009A288F"/>
    <w:rsid w:val="009C06BC"/>
    <w:rsid w:val="009F45A9"/>
    <w:rsid w:val="00A15736"/>
    <w:rsid w:val="00A17443"/>
    <w:rsid w:val="00A22E69"/>
    <w:rsid w:val="00A271CB"/>
    <w:rsid w:val="00A41FC2"/>
    <w:rsid w:val="00A67CDE"/>
    <w:rsid w:val="00A71335"/>
    <w:rsid w:val="00A94779"/>
    <w:rsid w:val="00AA1B93"/>
    <w:rsid w:val="00AF1B58"/>
    <w:rsid w:val="00B03EFD"/>
    <w:rsid w:val="00B12ADC"/>
    <w:rsid w:val="00B1478F"/>
    <w:rsid w:val="00B60E3B"/>
    <w:rsid w:val="00BC1951"/>
    <w:rsid w:val="00C02CCD"/>
    <w:rsid w:val="00C27F0B"/>
    <w:rsid w:val="00C34F53"/>
    <w:rsid w:val="00C5230E"/>
    <w:rsid w:val="00C5411E"/>
    <w:rsid w:val="00CB3AD3"/>
    <w:rsid w:val="00CD5D06"/>
    <w:rsid w:val="00CE1753"/>
    <w:rsid w:val="00CE2AC9"/>
    <w:rsid w:val="00D373BC"/>
    <w:rsid w:val="00D44A99"/>
    <w:rsid w:val="00D97B70"/>
    <w:rsid w:val="00DA00AD"/>
    <w:rsid w:val="00DA5398"/>
    <w:rsid w:val="00DB21A0"/>
    <w:rsid w:val="00DC667C"/>
    <w:rsid w:val="00DD04FD"/>
    <w:rsid w:val="00DD410F"/>
    <w:rsid w:val="00E07535"/>
    <w:rsid w:val="00E56529"/>
    <w:rsid w:val="00E924CF"/>
    <w:rsid w:val="00E96E18"/>
    <w:rsid w:val="00EB5E24"/>
    <w:rsid w:val="00EC2C58"/>
    <w:rsid w:val="00EC7234"/>
    <w:rsid w:val="00EE6119"/>
    <w:rsid w:val="00EF5CCC"/>
    <w:rsid w:val="00F0044D"/>
    <w:rsid w:val="00F767B0"/>
    <w:rsid w:val="00FB7F3F"/>
    <w:rsid w:val="1DE76872"/>
    <w:rsid w:val="35F172FF"/>
    <w:rsid w:val="387425F4"/>
    <w:rsid w:val="3C1867BD"/>
    <w:rsid w:val="B9FE8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cs="黑体"/>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cs="黑体"/>
      <w:sz w:val="18"/>
      <w:szCs w:val="18"/>
    </w:rPr>
  </w:style>
  <w:style w:type="character" w:styleId="6">
    <w:name w:val="page number"/>
    <w:basedOn w:val="5"/>
    <w:qFormat/>
    <w:uiPriority w:val="0"/>
    <w:rPr>
      <w:rFonts w:ascii="Times New Roman" w:hAnsi="Times New Roman" w:eastAsia="仿宋_GB2312"/>
      <w:sz w:val="28"/>
      <w:lang w:eastAsia="zh-CN"/>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Char Char Char Char Char Char Char"/>
    <w:basedOn w:val="1"/>
    <w:qFormat/>
    <w:uiPriority w:val="0"/>
    <w:pPr>
      <w:widowControl/>
      <w:snapToGrid w:val="0"/>
      <w:spacing w:after="160" w:line="360" w:lineRule="auto"/>
      <w:jc w:val="left"/>
    </w:pPr>
    <w:rPr>
      <w:rFonts w:ascii="Times New Roman" w:hAnsi="Times New Roman"/>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337</Words>
  <Characters>1922</Characters>
  <Lines>16</Lines>
  <Paragraphs>4</Paragraphs>
  <TotalTime>8</TotalTime>
  <ScaleCrop>false</ScaleCrop>
  <LinksUpToDate>false</LinksUpToDate>
  <CharactersWithSpaces>2255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2021-01-22T10:56:00Z</dcterms:created>
  <dc:creator>匿名用户</dc:creator>
  <cp:lastModifiedBy>汤永林</cp:lastModifiedBy>
  <dcterms:modified xsi:type="dcterms:W3CDTF">2022-12-07T17:40:52Z</dcterms:modified>
  <dc:title>监管一科2020年上半年工作报告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